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5C1B" w14:textId="090F7C04" w:rsidR="00D37FB8" w:rsidRPr="00D37FB8" w:rsidRDefault="00D37FB8" w:rsidP="008F24B7">
      <w:pPr>
        <w:spacing w:after="0" w:line="240" w:lineRule="auto"/>
        <w:jc w:val="both"/>
        <w:rPr>
          <w:rFonts w:ascii="Times New Roman" w:hAnsi="Times New Roman" w:cs="Times New Roman"/>
          <w:b/>
          <w:bCs/>
          <w:sz w:val="28"/>
          <w:szCs w:val="28"/>
          <w:lang w:val="en-US"/>
        </w:rPr>
      </w:pPr>
      <w:r w:rsidRPr="00D37FB8">
        <w:rPr>
          <w:rFonts w:ascii="Times New Roman" w:hAnsi="Times New Roman" w:cs="Times New Roman"/>
          <w:b/>
          <w:bCs/>
          <w:sz w:val="28"/>
          <w:szCs w:val="28"/>
          <w:lang w:val="en-US"/>
        </w:rPr>
        <w:t xml:space="preserve">Real-time IP Valuation </w:t>
      </w:r>
      <w:proofErr w:type="gramStart"/>
      <w:r w:rsidRPr="00D37FB8">
        <w:rPr>
          <w:rFonts w:ascii="Times New Roman" w:hAnsi="Times New Roman" w:cs="Times New Roman"/>
          <w:b/>
          <w:bCs/>
          <w:sz w:val="28"/>
          <w:szCs w:val="28"/>
          <w:lang w:val="en-US"/>
        </w:rPr>
        <w:t>As</w:t>
      </w:r>
      <w:proofErr w:type="gramEnd"/>
      <w:r w:rsidRPr="00D37FB8">
        <w:rPr>
          <w:rFonts w:ascii="Times New Roman" w:hAnsi="Times New Roman" w:cs="Times New Roman"/>
          <w:b/>
          <w:bCs/>
          <w:sz w:val="28"/>
          <w:szCs w:val="28"/>
          <w:lang w:val="en-US"/>
        </w:rPr>
        <w:t xml:space="preserve"> GDP Digital Engine</w:t>
      </w:r>
    </w:p>
    <w:p w14:paraId="738262A3" w14:textId="77777777" w:rsidR="00D37FB8" w:rsidRDefault="00D37FB8" w:rsidP="008F24B7">
      <w:pPr>
        <w:spacing w:after="0" w:line="240" w:lineRule="auto"/>
        <w:jc w:val="both"/>
        <w:rPr>
          <w:rFonts w:ascii="Times New Roman" w:hAnsi="Times New Roman" w:cs="Times New Roman"/>
          <w:sz w:val="28"/>
          <w:szCs w:val="28"/>
          <w:lang w:val="en-US"/>
        </w:rPr>
      </w:pPr>
    </w:p>
    <w:p w14:paraId="24BC44EA"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Real-time IP Valuation</w:t>
      </w:r>
    </w:p>
    <w:p w14:paraId="65AC891E"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27152203"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Tokenizing IP via IP Bonds creates a transparent, real-time IP valuation mechanism by integrating market-driven IP values into capital stock of the digital, knowledge-based economy.</w:t>
      </w:r>
    </w:p>
    <w:p w14:paraId="70C685F5"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0B0E030A"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 xml:space="preserve">IP Bonds </w:t>
      </w:r>
      <w:proofErr w:type="gramStart"/>
      <w:r w:rsidRPr="00D37FB8">
        <w:rPr>
          <w:rFonts w:ascii="Times New Roman" w:hAnsi="Times New Roman" w:cs="Times New Roman"/>
          <w:sz w:val="28"/>
          <w:szCs w:val="28"/>
          <w:lang w:val="en-US"/>
        </w:rPr>
        <w:t>As</w:t>
      </w:r>
      <w:proofErr w:type="gramEnd"/>
      <w:r w:rsidRPr="00D37FB8">
        <w:rPr>
          <w:rFonts w:ascii="Times New Roman" w:hAnsi="Times New Roman" w:cs="Times New Roman"/>
          <w:sz w:val="28"/>
          <w:szCs w:val="28"/>
          <w:lang w:val="en-US"/>
        </w:rPr>
        <w:t xml:space="preserve"> GDP Digital Engine</w:t>
      </w:r>
    </w:p>
    <w:p w14:paraId="33975400"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4F7E54C6"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IP Bonds are not just a financing tool—they’re a GDP modernization engine. The question is no longer if IP will shape GDP, but how quickly nations will adopt the tools to reflect it. The future starts with IP tokens.</w:t>
      </w:r>
    </w:p>
    <w:p w14:paraId="3C87026D"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2274E8EA"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 xml:space="preserve"> The global intellectual property (IP) ecosystem is a sleeping giant of economic value. With $80 trillion in untapped IP assets—ranging from patents and copyrights to trademarks—the traditional economy has struggled to integrate these intangible assets into metrics like GDP. Enter IP Bonds (tokenized IP Collateralized Debt Obligations), a breakthrough mechanism that transforms IP into liquid, real-time tradable assets. This innovation not only unlocks liquidity for IP owners but also creates a transparent, market-driven valuation system that aligns IP’s economic contribution with modern GDP accounting.</w:t>
      </w:r>
    </w:p>
    <w:p w14:paraId="7A182043"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0A9AA095"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The Invisible $80T Economy: Why IP is Missing from GDP</w:t>
      </w:r>
    </w:p>
    <w:p w14:paraId="690F1984"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0352CF4C"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IP is the backbone of the digital, knowledge-based economy. A single patent can spawn industries, while copyrights fuel media empires. Yet, traditional GDP frameworks often fail to capture IP’s true economic impact:</w:t>
      </w:r>
    </w:p>
    <w:p w14:paraId="3136B5C7"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1AE872D4"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Opaque Valuations: IP is typically valued using historical cost or discounted cash flow models, which lag behind dynamic market conditions.</w:t>
      </w:r>
    </w:p>
    <w:p w14:paraId="77A7BCAC"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78FE057F"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Underutilization: Only 2% of corporate IP is monetized beyond direct business use, leaving vast value uncounted in national accounts.</w:t>
      </w:r>
    </w:p>
    <w:p w14:paraId="029F3F1E"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324509B0"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Static Metrics: GDP relies on production, income, and expenditure data—metrics that struggle to reflect IP’s intangible nature.</w:t>
      </w:r>
    </w:p>
    <w:p w14:paraId="1D9169BA"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6E91C54E"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For example, a pharmaceutical company’s blockbuster drug patent might generate billions in royalties, but its value is only partially captured in GDP through licensing fees or corporate profits. The patent’s market-driven appreciation or depreciation remains invisible to statisticians.</w:t>
      </w:r>
    </w:p>
    <w:p w14:paraId="694B3F23"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5000567B" w14:textId="77777777" w:rsid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IP Bonds: A Real-Time Valuation Engine</w:t>
      </w:r>
    </w:p>
    <w:p w14:paraId="53519277" w14:textId="77777777" w:rsidR="00D37FB8" w:rsidRDefault="00D37FB8" w:rsidP="00D37FB8">
      <w:pPr>
        <w:spacing w:after="0" w:line="240" w:lineRule="auto"/>
        <w:jc w:val="both"/>
        <w:rPr>
          <w:rFonts w:ascii="Times New Roman" w:hAnsi="Times New Roman" w:cs="Times New Roman"/>
          <w:sz w:val="28"/>
          <w:szCs w:val="28"/>
          <w:lang w:val="en-US"/>
        </w:rPr>
      </w:pPr>
    </w:p>
    <w:p w14:paraId="3153B6B3" w14:textId="38028268"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lastRenderedPageBreak/>
        <w:t>IP Bonds tokenize IP assets into blockchain-based securities, enabling 24/7 trading and price discovery.</w:t>
      </w:r>
    </w:p>
    <w:p w14:paraId="7394BAC1"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4FB8AE16" w14:textId="3E29FF1D" w:rsid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Here’s how they redefine IP valuation:</w:t>
      </w:r>
    </w:p>
    <w:p w14:paraId="0F924F15"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7AFB5C0D"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Liquidity Unlocks Transparency</w:t>
      </w:r>
    </w:p>
    <w:p w14:paraId="2BC57E1F" w14:textId="7ACED004"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By fractionalizing IP cash flows (e.g., royalties, licensing fees) into tradable tokens, IP Bonds create a secondary market where prices reflect real-time supply and demand. For instance:</w:t>
      </w:r>
    </w:p>
    <w:p w14:paraId="528427E1"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6EEAB607" w14:textId="3D651EE2"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A biotech patent valued at $1B via traditional models might trade at $1.2B on token markets if investors anticipate higher future royalties.</w:t>
      </w:r>
    </w:p>
    <w:p w14:paraId="3D561504"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2A7118A4"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Conversely, a patent facing legal challenges could see its token price drop, signaling reduced economic utility.</w:t>
      </w:r>
    </w:p>
    <w:p w14:paraId="4FCB0B6B"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63085C79" w14:textId="0A4404C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This market-driven pricing replaces static valuations with dynamic, consensus-based metrics.</w:t>
      </w:r>
    </w:p>
    <w:p w14:paraId="52D073EF"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21FC79D5"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Inverted Causality: Bond Prices Define IP Value</w:t>
      </w:r>
    </w:p>
    <w:p w14:paraId="533037D7" w14:textId="323BDAD3"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Unlike traditional assets (e.g., real estate), where the asset’s value determines bond prices, IP Bonds invert this relationship:</w:t>
      </w:r>
    </w:p>
    <w:p w14:paraId="7BDB1CFA"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28D297B8" w14:textId="5BE1EB9D"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Token prices → IP value: The market capitalization of an IP Bond directly reflects the underlying IP’s economic worth.</w:t>
      </w:r>
    </w:p>
    <w:p w14:paraId="3213473C"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28A09706"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This creates a feedback loop: High token demand signals IP’s strategic or revenue potential, which can guide R&amp;D investment, licensing strategies, and policy decisions.</w:t>
      </w:r>
    </w:p>
    <w:p w14:paraId="33CE8CEF"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160178CE"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Integrating IP into GDP: A Framework for the Future</w:t>
      </w:r>
    </w:p>
    <w:p w14:paraId="5184315B"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0BB67247" w14:textId="5AFC308B"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Tokenized IP Bonds provide the data infrastructure to incorporate IP into GDP through three key channels:</w:t>
      </w:r>
    </w:p>
    <w:p w14:paraId="714AB893"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3FA7DD38" w14:textId="7A9DB8BC"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Capital Stock: Revising National Balance Sheets</w:t>
      </w:r>
    </w:p>
    <w:p w14:paraId="25DE74AD"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5E3E356F" w14:textId="10E09B91"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Capital Services: IP’s market value (derived from token prices) can be amortized over its lifespan and added to GDP as imputed capital services.</w:t>
      </w:r>
    </w:p>
    <w:p w14:paraId="1394C8EE"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1ACA05B0" w14:textId="13BCB67C" w:rsid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Satellite Accounts: National statistical offices (e.g., the U.S. Bureau of Economic Analysis) can create IP-specific accounts, tracking tokenized valuations to adjust gross fixed capital formation (GFCF), a component of GDP.</w:t>
      </w:r>
    </w:p>
    <w:p w14:paraId="39490B3A"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3320B4C8" w14:textId="01FD6350"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lastRenderedPageBreak/>
        <w:t>Example: If a $1B patent’s tokenized value rises to $1.2B, the $200M delta could be recognized as increased capital stock, boosting GDP.</w:t>
      </w:r>
    </w:p>
    <w:p w14:paraId="08C41A1A"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2CF77EE9" w14:textId="2F5C4B74"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Income Flows: Capturing Royalties and Licensing</w:t>
      </w:r>
    </w:p>
    <w:p w14:paraId="2DCC7A00"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25FBE36A" w14:textId="3A893810"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Smart Contract Data: IP Bonds automate royalty distributions via blockchain. These flows are auditable and can be aggregated to measure IP’s contribution to corporate profits and household income.</w:t>
      </w:r>
    </w:p>
    <w:p w14:paraId="4B502CC1"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18A7DAA3" w14:textId="398DE573"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Financial Services GDP: Trading fees, custody services, and collateralized lending against IP Bonds add to GDP’s financial sector output.</w:t>
      </w:r>
    </w:p>
    <w:p w14:paraId="7A7B4E57"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67796979"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Net Exports: Globalizing IP Trade</w:t>
      </w:r>
    </w:p>
    <w:p w14:paraId="744F6292" w14:textId="02D828FC"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Tokenized IP can be traded across borders, turning licensing into a tradable service export. For instance:</w:t>
      </w:r>
    </w:p>
    <w:p w14:paraId="24856763"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2CDC0D9E"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A German firm licensing a U.S. patent via IP Bonds increases U.S. exports, directly lifting GDP’s net exports component.</w:t>
      </w:r>
    </w:p>
    <w:p w14:paraId="11033946"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43B8E1DC"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Challenges: From Theory to Implementation</w:t>
      </w:r>
    </w:p>
    <w:p w14:paraId="26BD8DF0"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5ED5738F" w14:textId="43AA437A"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While transformative, integrating IP Bonds into GDP requires overcoming hurdles:</w:t>
      </w:r>
    </w:p>
    <w:p w14:paraId="3DBF2797"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3AA008A9" w14:textId="637A63C0"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Volatility: Token prices may swing due to speculation, requiring statistical smoothing (e.g., moving averages) to stabilize GDP inputs.</w:t>
      </w:r>
    </w:p>
    <w:p w14:paraId="28791ED3"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2FBD9FBA" w14:textId="7A7DEB5A"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Regulatory Gaps: Most nations lack frameworks to recognize tokenized IP as balance sheet assets. Harmonizing standards (e.g., via the IMF or OECD) is critical.</w:t>
      </w:r>
    </w:p>
    <w:p w14:paraId="18A577EB"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1EF62194"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Double-Counting Risks: Ensuring IP income isn’t redundantly reported (e.g., royalties already included in corporate profits).</w:t>
      </w:r>
    </w:p>
    <w:p w14:paraId="6372EEE0"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4B42E57C"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The Path Forward: A Digital Economy Accounting Revolution</w:t>
      </w:r>
    </w:p>
    <w:p w14:paraId="606AA547"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07D2C930" w14:textId="385E20F2"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IP Bonds are not just a financing tool—they’re a GDP modernization engine. By tethering IP’s value to real-time markets, they bridge the gap between the intangible economy and traditional metrics. For nations, this means:</w:t>
      </w:r>
    </w:p>
    <w:p w14:paraId="3C7CDAA1"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3E6AB3CE" w14:textId="66ADFD15"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Accurate Growth Metrics: Policymakers can gauge the true impact of innovation on GDP.</w:t>
      </w:r>
    </w:p>
    <w:p w14:paraId="1E80CD77"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1C4A31D5" w14:textId="46C8F8F0" w:rsid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Incentivizing IP Monetization: Transparent valuations encourage startups and SMEs to leverage IP for capital.</w:t>
      </w:r>
    </w:p>
    <w:p w14:paraId="37BDABAE"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65668B06"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lastRenderedPageBreak/>
        <w:t>Global Competitiveness: Countries with robust IP ecosystems (e.g., the U.S., China, EU) can better benchmark their knowledge economy contributions.</w:t>
      </w:r>
    </w:p>
    <w:p w14:paraId="29F04C6F"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02B0FD58"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Conclusion: The Future is Tokenized</w:t>
      </w:r>
    </w:p>
    <w:p w14:paraId="5AF3C33A"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549572FF" w14:textId="77777777" w:rsidR="00D37FB8" w:rsidRPr="00D37FB8" w:rsidRDefault="00D37FB8" w:rsidP="00D37FB8">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The $80T IP economy is no longer a hidden asset—it’s a cornerstone of 21st-century growth. By tokenizing IP into bonds, we unlock not just liquidity but a transparent, market-driven valuation system that aligns with GDP’s evolving needs. As regulators and economists adapt, IP Bonds could redefine how we measure progress in a world where ideas are the ultimate currency.</w:t>
      </w:r>
    </w:p>
    <w:p w14:paraId="046972D6" w14:textId="77777777" w:rsidR="00D37FB8" w:rsidRPr="00D37FB8" w:rsidRDefault="00D37FB8" w:rsidP="00D37FB8">
      <w:pPr>
        <w:spacing w:after="0" w:line="240" w:lineRule="auto"/>
        <w:jc w:val="both"/>
        <w:rPr>
          <w:rFonts w:ascii="Times New Roman" w:hAnsi="Times New Roman" w:cs="Times New Roman"/>
          <w:sz w:val="28"/>
          <w:szCs w:val="28"/>
          <w:lang w:val="en-US"/>
        </w:rPr>
      </w:pPr>
    </w:p>
    <w:p w14:paraId="6C2C4FEF" w14:textId="40A47C76" w:rsidR="00D37FB8" w:rsidRDefault="00D37FB8" w:rsidP="008F24B7">
      <w:pPr>
        <w:spacing w:after="0" w:line="240" w:lineRule="auto"/>
        <w:jc w:val="both"/>
        <w:rPr>
          <w:rFonts w:ascii="Times New Roman" w:hAnsi="Times New Roman" w:cs="Times New Roman"/>
          <w:sz w:val="28"/>
          <w:szCs w:val="28"/>
          <w:lang w:val="en-US"/>
        </w:rPr>
      </w:pPr>
      <w:r w:rsidRPr="00D37FB8">
        <w:rPr>
          <w:rFonts w:ascii="Times New Roman" w:hAnsi="Times New Roman" w:cs="Times New Roman"/>
          <w:sz w:val="28"/>
          <w:szCs w:val="28"/>
          <w:lang w:val="en-US"/>
        </w:rPr>
        <w:t>The question is no longer if IP will shape GDP, but how quickly nations will adopt the tools to reflect it. The future of economic accounting starts with IP tokens.</w:t>
      </w:r>
    </w:p>
    <w:sectPr w:rsidR="00D37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7C1"/>
    <w:multiLevelType w:val="hybridMultilevel"/>
    <w:tmpl w:val="08FC0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8B3A3E"/>
    <w:multiLevelType w:val="hybridMultilevel"/>
    <w:tmpl w:val="55A62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C307C"/>
    <w:multiLevelType w:val="multilevel"/>
    <w:tmpl w:val="5FE4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B5AEA"/>
    <w:multiLevelType w:val="hybridMultilevel"/>
    <w:tmpl w:val="308CD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773F3E"/>
    <w:multiLevelType w:val="hybridMultilevel"/>
    <w:tmpl w:val="C0201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5F58C7"/>
    <w:multiLevelType w:val="hybridMultilevel"/>
    <w:tmpl w:val="2548C0DC"/>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6" w15:restartNumberingAfterBreak="0">
    <w:nsid w:val="17F557BE"/>
    <w:multiLevelType w:val="multilevel"/>
    <w:tmpl w:val="9EBADA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A3DD0"/>
    <w:multiLevelType w:val="hybridMultilevel"/>
    <w:tmpl w:val="08FC05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B0108E"/>
    <w:multiLevelType w:val="hybridMultilevel"/>
    <w:tmpl w:val="F42862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59036A"/>
    <w:multiLevelType w:val="hybridMultilevel"/>
    <w:tmpl w:val="FE28E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F555A"/>
    <w:multiLevelType w:val="hybridMultilevel"/>
    <w:tmpl w:val="74706A76"/>
    <w:lvl w:ilvl="0" w:tplc="903CF92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D725E9"/>
    <w:multiLevelType w:val="multilevel"/>
    <w:tmpl w:val="4B4A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CA73D3"/>
    <w:multiLevelType w:val="multilevel"/>
    <w:tmpl w:val="519A1A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90082"/>
    <w:multiLevelType w:val="hybridMultilevel"/>
    <w:tmpl w:val="337C6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680606"/>
    <w:multiLevelType w:val="hybridMultilevel"/>
    <w:tmpl w:val="9E7A3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3F64B8"/>
    <w:multiLevelType w:val="hybridMultilevel"/>
    <w:tmpl w:val="52701122"/>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B802B0"/>
    <w:multiLevelType w:val="multilevel"/>
    <w:tmpl w:val="9AA8A6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622D67"/>
    <w:multiLevelType w:val="multilevel"/>
    <w:tmpl w:val="ECDA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DB543C"/>
    <w:multiLevelType w:val="hybridMultilevel"/>
    <w:tmpl w:val="51FE0BE4"/>
    <w:lvl w:ilvl="0" w:tplc="679EA7B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5031A8"/>
    <w:multiLevelType w:val="hybridMultilevel"/>
    <w:tmpl w:val="3D7AEA3C"/>
    <w:lvl w:ilvl="0" w:tplc="820EC78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064374"/>
    <w:multiLevelType w:val="hybridMultilevel"/>
    <w:tmpl w:val="82D821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4FD5BF7"/>
    <w:multiLevelType w:val="multilevel"/>
    <w:tmpl w:val="C1BA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212D84"/>
    <w:multiLevelType w:val="hybridMultilevel"/>
    <w:tmpl w:val="F42862C4"/>
    <w:lvl w:ilvl="0" w:tplc="8CA6441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605A40"/>
    <w:multiLevelType w:val="multilevel"/>
    <w:tmpl w:val="1B3E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A378C6"/>
    <w:multiLevelType w:val="hybridMultilevel"/>
    <w:tmpl w:val="924C0C68"/>
    <w:lvl w:ilvl="0" w:tplc="3488A30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5847582">
    <w:abstractNumId w:val="16"/>
  </w:num>
  <w:num w:numId="2" w16cid:durableId="585261754">
    <w:abstractNumId w:val="23"/>
  </w:num>
  <w:num w:numId="3" w16cid:durableId="1617367891">
    <w:abstractNumId w:val="12"/>
  </w:num>
  <w:num w:numId="4" w16cid:durableId="609046390">
    <w:abstractNumId w:val="2"/>
  </w:num>
  <w:num w:numId="5" w16cid:durableId="1857962345">
    <w:abstractNumId w:val="11"/>
  </w:num>
  <w:num w:numId="6" w16cid:durableId="924996406">
    <w:abstractNumId w:val="6"/>
  </w:num>
  <w:num w:numId="7" w16cid:durableId="89274510">
    <w:abstractNumId w:val="21"/>
  </w:num>
  <w:num w:numId="8" w16cid:durableId="1766262134">
    <w:abstractNumId w:val="17"/>
  </w:num>
  <w:num w:numId="9" w16cid:durableId="1078332610">
    <w:abstractNumId w:val="4"/>
  </w:num>
  <w:num w:numId="10" w16cid:durableId="37359292">
    <w:abstractNumId w:val="0"/>
  </w:num>
  <w:num w:numId="11" w16cid:durableId="202209349">
    <w:abstractNumId w:val="20"/>
  </w:num>
  <w:num w:numId="12" w16cid:durableId="140316587">
    <w:abstractNumId w:val="7"/>
  </w:num>
  <w:num w:numId="13" w16cid:durableId="43602904">
    <w:abstractNumId w:val="19"/>
  </w:num>
  <w:num w:numId="14" w16cid:durableId="1694988743">
    <w:abstractNumId w:val="3"/>
  </w:num>
  <w:num w:numId="15" w16cid:durableId="937176918">
    <w:abstractNumId w:val="14"/>
  </w:num>
  <w:num w:numId="16" w16cid:durableId="1660385508">
    <w:abstractNumId w:val="1"/>
  </w:num>
  <w:num w:numId="17" w16cid:durableId="1923296545">
    <w:abstractNumId w:val="24"/>
  </w:num>
  <w:num w:numId="18" w16cid:durableId="1699499600">
    <w:abstractNumId w:val="5"/>
  </w:num>
  <w:num w:numId="19" w16cid:durableId="1901360530">
    <w:abstractNumId w:val="13"/>
  </w:num>
  <w:num w:numId="20" w16cid:durableId="1081681188">
    <w:abstractNumId w:val="18"/>
  </w:num>
  <w:num w:numId="21" w16cid:durableId="1690064513">
    <w:abstractNumId w:val="22"/>
  </w:num>
  <w:num w:numId="22" w16cid:durableId="380447647">
    <w:abstractNumId w:val="10"/>
  </w:num>
  <w:num w:numId="23" w16cid:durableId="1039284756">
    <w:abstractNumId w:val="15"/>
  </w:num>
  <w:num w:numId="24" w16cid:durableId="2123184731">
    <w:abstractNumId w:val="9"/>
  </w:num>
  <w:num w:numId="25" w16cid:durableId="1562208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20"/>
    <w:rsid w:val="00005DB2"/>
    <w:rsid w:val="000840DE"/>
    <w:rsid w:val="00097E3A"/>
    <w:rsid w:val="001565D8"/>
    <w:rsid w:val="00175DD6"/>
    <w:rsid w:val="001D7B7F"/>
    <w:rsid w:val="001E7E43"/>
    <w:rsid w:val="00245270"/>
    <w:rsid w:val="0031798C"/>
    <w:rsid w:val="0033042A"/>
    <w:rsid w:val="00387292"/>
    <w:rsid w:val="003D2A5B"/>
    <w:rsid w:val="00424BDB"/>
    <w:rsid w:val="0044344A"/>
    <w:rsid w:val="004A6268"/>
    <w:rsid w:val="004C3C85"/>
    <w:rsid w:val="0054046E"/>
    <w:rsid w:val="00553874"/>
    <w:rsid w:val="00572F08"/>
    <w:rsid w:val="005A4216"/>
    <w:rsid w:val="005D25EC"/>
    <w:rsid w:val="006434E1"/>
    <w:rsid w:val="006A4C31"/>
    <w:rsid w:val="006B327B"/>
    <w:rsid w:val="006D23D4"/>
    <w:rsid w:val="00740393"/>
    <w:rsid w:val="00764965"/>
    <w:rsid w:val="00801363"/>
    <w:rsid w:val="00862D32"/>
    <w:rsid w:val="008A59BD"/>
    <w:rsid w:val="008F24B7"/>
    <w:rsid w:val="008F2DAA"/>
    <w:rsid w:val="008F4295"/>
    <w:rsid w:val="00915FF5"/>
    <w:rsid w:val="0094457B"/>
    <w:rsid w:val="009507EE"/>
    <w:rsid w:val="009E1BDA"/>
    <w:rsid w:val="00A1004A"/>
    <w:rsid w:val="00A11BB8"/>
    <w:rsid w:val="00A41501"/>
    <w:rsid w:val="00AD5451"/>
    <w:rsid w:val="00B2754D"/>
    <w:rsid w:val="00BC450E"/>
    <w:rsid w:val="00BF2634"/>
    <w:rsid w:val="00C04635"/>
    <w:rsid w:val="00C1400C"/>
    <w:rsid w:val="00C67152"/>
    <w:rsid w:val="00CE6E90"/>
    <w:rsid w:val="00D25CD9"/>
    <w:rsid w:val="00D37FB8"/>
    <w:rsid w:val="00D65720"/>
    <w:rsid w:val="00DB755A"/>
    <w:rsid w:val="00DE40FE"/>
    <w:rsid w:val="00E2677E"/>
    <w:rsid w:val="00E306F1"/>
    <w:rsid w:val="00EA3BFC"/>
    <w:rsid w:val="00FB1C72"/>
    <w:rsid w:val="00FE62A7"/>
    <w:rsid w:val="00FF3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3B0C"/>
  <w15:chartTrackingRefBased/>
  <w15:docId w15:val="{866CD27D-5203-4D21-8379-58CA1CCE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54D"/>
  </w:style>
  <w:style w:type="paragraph" w:styleId="1">
    <w:name w:val="heading 1"/>
    <w:basedOn w:val="a"/>
    <w:next w:val="a"/>
    <w:link w:val="10"/>
    <w:uiPriority w:val="9"/>
    <w:qFormat/>
    <w:rsid w:val="00D657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657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657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657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657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657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57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57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57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657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657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657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657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657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5720"/>
    <w:rPr>
      <w:rFonts w:eastAsiaTheme="majorEastAsia" w:cstheme="majorBidi"/>
      <w:color w:val="595959" w:themeColor="text1" w:themeTint="A6"/>
    </w:rPr>
  </w:style>
  <w:style w:type="character" w:customStyle="1" w:styleId="80">
    <w:name w:val="Заголовок 8 Знак"/>
    <w:basedOn w:val="a0"/>
    <w:link w:val="8"/>
    <w:uiPriority w:val="9"/>
    <w:semiHidden/>
    <w:rsid w:val="00D657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5720"/>
    <w:rPr>
      <w:rFonts w:eastAsiaTheme="majorEastAsia" w:cstheme="majorBidi"/>
      <w:color w:val="272727" w:themeColor="text1" w:themeTint="D8"/>
    </w:rPr>
  </w:style>
  <w:style w:type="paragraph" w:styleId="a3">
    <w:name w:val="Title"/>
    <w:basedOn w:val="a"/>
    <w:next w:val="a"/>
    <w:link w:val="a4"/>
    <w:uiPriority w:val="10"/>
    <w:qFormat/>
    <w:rsid w:val="00D65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5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7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57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5720"/>
    <w:pPr>
      <w:spacing w:before="160"/>
      <w:jc w:val="center"/>
    </w:pPr>
    <w:rPr>
      <w:i/>
      <w:iCs/>
      <w:color w:val="404040" w:themeColor="text1" w:themeTint="BF"/>
    </w:rPr>
  </w:style>
  <w:style w:type="character" w:customStyle="1" w:styleId="22">
    <w:name w:val="Цитата 2 Знак"/>
    <w:basedOn w:val="a0"/>
    <w:link w:val="21"/>
    <w:uiPriority w:val="29"/>
    <w:rsid w:val="00D65720"/>
    <w:rPr>
      <w:i/>
      <w:iCs/>
      <w:color w:val="404040" w:themeColor="text1" w:themeTint="BF"/>
    </w:rPr>
  </w:style>
  <w:style w:type="paragraph" w:styleId="a7">
    <w:name w:val="List Paragraph"/>
    <w:basedOn w:val="a"/>
    <w:uiPriority w:val="34"/>
    <w:qFormat/>
    <w:rsid w:val="00D65720"/>
    <w:pPr>
      <w:ind w:left="720"/>
      <w:contextualSpacing/>
    </w:pPr>
  </w:style>
  <w:style w:type="character" w:styleId="a8">
    <w:name w:val="Intense Emphasis"/>
    <w:basedOn w:val="a0"/>
    <w:uiPriority w:val="21"/>
    <w:qFormat/>
    <w:rsid w:val="00D65720"/>
    <w:rPr>
      <w:i/>
      <w:iCs/>
      <w:color w:val="2F5496" w:themeColor="accent1" w:themeShade="BF"/>
    </w:rPr>
  </w:style>
  <w:style w:type="paragraph" w:styleId="a9">
    <w:name w:val="Intense Quote"/>
    <w:basedOn w:val="a"/>
    <w:next w:val="a"/>
    <w:link w:val="aa"/>
    <w:uiPriority w:val="30"/>
    <w:qFormat/>
    <w:rsid w:val="00D657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65720"/>
    <w:rPr>
      <w:i/>
      <w:iCs/>
      <w:color w:val="2F5496" w:themeColor="accent1" w:themeShade="BF"/>
    </w:rPr>
  </w:style>
  <w:style w:type="character" w:styleId="ab">
    <w:name w:val="Intense Reference"/>
    <w:basedOn w:val="a0"/>
    <w:uiPriority w:val="32"/>
    <w:qFormat/>
    <w:rsid w:val="00D65720"/>
    <w:rPr>
      <w:b/>
      <w:bCs/>
      <w:smallCaps/>
      <w:color w:val="2F5496" w:themeColor="accent1" w:themeShade="BF"/>
      <w:spacing w:val="5"/>
    </w:rPr>
  </w:style>
  <w:style w:type="character" w:styleId="ac">
    <w:name w:val="Hyperlink"/>
    <w:basedOn w:val="a0"/>
    <w:uiPriority w:val="99"/>
    <w:unhideWhenUsed/>
    <w:rsid w:val="005A4216"/>
    <w:rPr>
      <w:color w:val="0563C1" w:themeColor="hyperlink"/>
      <w:u w:val="single"/>
    </w:rPr>
  </w:style>
  <w:style w:type="character" w:styleId="ad">
    <w:name w:val="Unresolved Mention"/>
    <w:basedOn w:val="a0"/>
    <w:uiPriority w:val="99"/>
    <w:semiHidden/>
    <w:unhideWhenUsed/>
    <w:rsid w:val="005A4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558906782">
      <w:bodyDiv w:val="1"/>
      <w:marLeft w:val="0"/>
      <w:marRight w:val="0"/>
      <w:marTop w:val="0"/>
      <w:marBottom w:val="0"/>
      <w:divBdr>
        <w:top w:val="none" w:sz="0" w:space="0" w:color="auto"/>
        <w:left w:val="none" w:sz="0" w:space="0" w:color="auto"/>
        <w:bottom w:val="none" w:sz="0" w:space="0" w:color="auto"/>
        <w:right w:val="none" w:sz="0" w:space="0" w:color="auto"/>
      </w:divBdr>
      <w:divsChild>
        <w:div w:id="1429892284">
          <w:marLeft w:val="0"/>
          <w:marRight w:val="0"/>
          <w:marTop w:val="0"/>
          <w:marBottom w:val="420"/>
          <w:divBdr>
            <w:top w:val="none" w:sz="0" w:space="0" w:color="auto"/>
            <w:left w:val="none" w:sz="0" w:space="0" w:color="auto"/>
            <w:bottom w:val="none" w:sz="0" w:space="0" w:color="auto"/>
            <w:right w:val="none" w:sz="0" w:space="0" w:color="auto"/>
          </w:divBdr>
        </w:div>
      </w:divsChild>
    </w:div>
    <w:div w:id="645819208">
      <w:bodyDiv w:val="1"/>
      <w:marLeft w:val="0"/>
      <w:marRight w:val="0"/>
      <w:marTop w:val="0"/>
      <w:marBottom w:val="0"/>
      <w:divBdr>
        <w:top w:val="none" w:sz="0" w:space="0" w:color="auto"/>
        <w:left w:val="none" w:sz="0" w:space="0" w:color="auto"/>
        <w:bottom w:val="none" w:sz="0" w:space="0" w:color="auto"/>
        <w:right w:val="none" w:sz="0" w:space="0" w:color="auto"/>
      </w:divBdr>
    </w:div>
    <w:div w:id="138054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4</Pages>
  <Words>959</Words>
  <Characters>5469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В. Михайлов</dc:creator>
  <cp:keywords/>
  <dc:description/>
  <cp:lastModifiedBy>Виктор В. Михайлов</cp:lastModifiedBy>
  <cp:revision>34</cp:revision>
  <cp:lastPrinted>2025-07-01T11:42:00Z</cp:lastPrinted>
  <dcterms:created xsi:type="dcterms:W3CDTF">2025-07-01T09:43:00Z</dcterms:created>
  <dcterms:modified xsi:type="dcterms:W3CDTF">2025-07-11T08:47:00Z</dcterms:modified>
</cp:coreProperties>
</file>